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F7" w:rsidRPr="00E5200C" w:rsidRDefault="008660EE" w:rsidP="008660EE">
      <w:pPr>
        <w:widowControl/>
        <w:jc w:val="center"/>
        <w:rPr>
          <w:rFonts w:ascii="Times New Roman" w:eastAsia="黑体" w:hAnsi="Times New Roman" w:cs="Times New Roman"/>
          <w:color w:val="000000"/>
          <w:sz w:val="32"/>
          <w:szCs w:val="32"/>
        </w:rPr>
      </w:pPr>
      <w:r w:rsidRPr="00E5200C">
        <w:rPr>
          <w:rFonts w:ascii="Times New Roman" w:eastAsia="黑体" w:hAnsi="Times New Roman" w:cs="Times New Roman"/>
          <w:color w:val="000000"/>
          <w:sz w:val="32"/>
          <w:szCs w:val="32"/>
        </w:rPr>
        <w:t>0818Z5</w:t>
      </w:r>
      <w:r w:rsidRPr="00E5200C">
        <w:rPr>
          <w:rFonts w:ascii="Times New Roman" w:eastAsia="黑体" w:hAnsi="Times New Roman" w:cs="Times New Roman"/>
          <w:color w:val="000000"/>
          <w:sz w:val="32"/>
          <w:szCs w:val="32"/>
        </w:rPr>
        <w:t>油气信息探测与仪器装备专业硕士研究生培养方案</w:t>
      </w:r>
    </w:p>
    <w:p w:rsidR="008660EE" w:rsidRPr="00E5200C" w:rsidRDefault="008660EE" w:rsidP="008660EE">
      <w:pPr>
        <w:spacing w:line="288" w:lineRule="auto"/>
        <w:rPr>
          <w:rFonts w:ascii="Times New Roman" w:eastAsia="黑体" w:hAnsi="Times New Roman" w:cs="Times New Roman"/>
          <w:color w:val="000000"/>
          <w:sz w:val="24"/>
        </w:rPr>
      </w:pPr>
      <w:r w:rsidRPr="00E5200C">
        <w:rPr>
          <w:rFonts w:ascii="Times New Roman" w:eastAsia="黑体" w:hAnsi="Times New Roman" w:cs="Times New Roman"/>
          <w:color w:val="000000"/>
          <w:sz w:val="24"/>
        </w:rPr>
        <w:t>一、培养目标</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本专业培养德、智、体全面发展，适应现代科技发展和社会经济建设需要，具有较高人文素质的专业技术人才。本学科硕士学位获得者应具备：</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1</w:t>
      </w:r>
      <w:r w:rsidRPr="00E5200C">
        <w:rPr>
          <w:rFonts w:ascii="Times New Roman" w:hAnsi="Times New Roman" w:cs="Times New Roman"/>
          <w:szCs w:val="21"/>
        </w:rPr>
        <w:t>．具有严谨求实的科学态度、勇于创新的工作作风和高尚的职业道德；</w:t>
      </w:r>
      <w:r w:rsidRPr="00E5200C">
        <w:rPr>
          <w:rFonts w:ascii="Times New Roman" w:hAnsi="Times New Roman" w:cs="Times New Roman"/>
          <w:szCs w:val="21"/>
        </w:rPr>
        <w:t xml:space="preserve"> </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2</w:t>
      </w:r>
      <w:r w:rsidRPr="00E5200C">
        <w:rPr>
          <w:rFonts w:ascii="Times New Roman" w:hAnsi="Times New Roman" w:cs="Times New Roman"/>
          <w:szCs w:val="21"/>
        </w:rPr>
        <w:t>．掌握本专业坚实的基础理论和系统的专门知识；</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 xml:space="preserve">3. </w:t>
      </w:r>
      <w:r w:rsidRPr="00E5200C">
        <w:rPr>
          <w:rFonts w:ascii="Times New Roman" w:hAnsi="Times New Roman" w:cs="Times New Roman"/>
          <w:szCs w:val="21"/>
        </w:rPr>
        <w:t>掌握一门外国语，具有一定的写作能力和口语表达能力；</w:t>
      </w:r>
    </w:p>
    <w:p w:rsidR="008660EE" w:rsidRPr="00E5200C" w:rsidRDefault="008660EE" w:rsidP="008660EE">
      <w:pPr>
        <w:spacing w:line="288" w:lineRule="auto"/>
        <w:ind w:firstLineChars="200" w:firstLine="420"/>
        <w:rPr>
          <w:rFonts w:ascii="Times New Roman" w:hAnsi="Times New Roman" w:cs="Times New Roman"/>
          <w:color w:val="000000"/>
          <w:szCs w:val="21"/>
        </w:rPr>
      </w:pPr>
      <w:r w:rsidRPr="00E5200C">
        <w:rPr>
          <w:rFonts w:ascii="Times New Roman" w:hAnsi="Times New Roman" w:cs="Times New Roman"/>
          <w:szCs w:val="21"/>
        </w:rPr>
        <w:t>4</w:t>
      </w:r>
      <w:r w:rsidRPr="00E5200C">
        <w:rPr>
          <w:rFonts w:ascii="Times New Roman" w:hAnsi="Times New Roman" w:cs="Times New Roman"/>
          <w:szCs w:val="21"/>
        </w:rPr>
        <w:t>．具有独立分析和解决本学科的专门技术问题的能力</w:t>
      </w:r>
      <w:r w:rsidRPr="00E5200C">
        <w:rPr>
          <w:rFonts w:ascii="Times New Roman" w:hAnsi="Times New Roman" w:cs="Times New Roman"/>
          <w:sz w:val="24"/>
          <w:szCs w:val="21"/>
        </w:rPr>
        <w:t>；</w:t>
      </w:r>
    </w:p>
    <w:p w:rsidR="008660EE" w:rsidRPr="00E5200C" w:rsidRDefault="008660EE" w:rsidP="008660EE">
      <w:pPr>
        <w:spacing w:line="288" w:lineRule="auto"/>
        <w:rPr>
          <w:rFonts w:ascii="Times New Roman" w:eastAsia="黑体" w:hAnsi="Times New Roman" w:cs="Times New Roman"/>
          <w:color w:val="000000"/>
          <w:sz w:val="24"/>
        </w:rPr>
      </w:pPr>
      <w:r w:rsidRPr="00E5200C">
        <w:rPr>
          <w:rFonts w:ascii="Times New Roman" w:eastAsia="黑体" w:hAnsi="Times New Roman" w:cs="Times New Roman"/>
          <w:color w:val="000000"/>
          <w:sz w:val="24"/>
        </w:rPr>
        <w:t>二、研究方向</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1</w:t>
      </w:r>
      <w:r w:rsidRPr="00E5200C">
        <w:rPr>
          <w:rFonts w:ascii="Times New Roman" w:hAnsi="Times New Roman" w:cs="Times New Roman"/>
          <w:szCs w:val="21"/>
        </w:rPr>
        <w:t>．电磁勘探方法与技术</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2</w:t>
      </w:r>
      <w:r w:rsidRPr="00E5200C">
        <w:rPr>
          <w:rFonts w:ascii="Times New Roman" w:hAnsi="Times New Roman" w:cs="Times New Roman"/>
          <w:szCs w:val="21"/>
        </w:rPr>
        <w:t>．油气探测信号与信息处理</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3</w:t>
      </w:r>
      <w:r w:rsidRPr="00E5200C">
        <w:rPr>
          <w:rFonts w:ascii="Times New Roman" w:hAnsi="Times New Roman" w:cs="Times New Roman"/>
          <w:szCs w:val="21"/>
        </w:rPr>
        <w:t>．油气信号检测方法与仪器研究</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4</w:t>
      </w:r>
      <w:r w:rsidRPr="00E5200C">
        <w:rPr>
          <w:rFonts w:ascii="Times New Roman" w:hAnsi="Times New Roman" w:cs="Times New Roman"/>
          <w:szCs w:val="21"/>
        </w:rPr>
        <w:t>．油田开发过程测控方法及装备研究</w:t>
      </w:r>
    </w:p>
    <w:p w:rsidR="008660EE" w:rsidRPr="00E5200C" w:rsidRDefault="008660EE" w:rsidP="008660EE">
      <w:pPr>
        <w:spacing w:line="288" w:lineRule="auto"/>
        <w:rPr>
          <w:rFonts w:ascii="Times New Roman" w:eastAsia="黑体" w:hAnsi="Times New Roman" w:cs="Times New Roman"/>
          <w:color w:val="000000"/>
          <w:sz w:val="24"/>
        </w:rPr>
      </w:pPr>
      <w:r w:rsidRPr="00E5200C">
        <w:rPr>
          <w:rFonts w:ascii="Times New Roman" w:eastAsia="黑体" w:hAnsi="Times New Roman" w:cs="Times New Roman"/>
          <w:color w:val="000000"/>
          <w:sz w:val="24"/>
        </w:rPr>
        <w:t>三、学习年限</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全日制硕士研究生的学习年限一般为</w:t>
      </w:r>
      <w:r w:rsidRPr="00E5200C">
        <w:rPr>
          <w:rFonts w:ascii="Times New Roman" w:hAnsi="Times New Roman" w:cs="Times New Roman"/>
          <w:szCs w:val="21"/>
        </w:rPr>
        <w:t>3</w:t>
      </w:r>
      <w:r w:rsidRPr="00E5200C">
        <w:rPr>
          <w:rFonts w:ascii="Times New Roman" w:hAnsi="Times New Roman" w:cs="Times New Roman"/>
          <w:szCs w:val="21"/>
        </w:rPr>
        <w:t>年，最长学习年限不超过</w:t>
      </w:r>
      <w:r w:rsidRPr="00E5200C">
        <w:rPr>
          <w:rFonts w:ascii="Times New Roman" w:hAnsi="Times New Roman" w:cs="Times New Roman"/>
          <w:szCs w:val="21"/>
        </w:rPr>
        <w:t>4</w:t>
      </w:r>
      <w:r w:rsidRPr="00E5200C">
        <w:rPr>
          <w:rFonts w:ascii="Times New Roman" w:hAnsi="Times New Roman" w:cs="Times New Roman"/>
          <w:szCs w:val="21"/>
        </w:rPr>
        <w:t>年，其中课程学习时间一年。硕士生应在规定的学习期限内完成培养计划要求的课程学习和论文等工作。</w:t>
      </w:r>
    </w:p>
    <w:p w:rsidR="008660EE" w:rsidRPr="00E5200C" w:rsidRDefault="008660EE" w:rsidP="008660EE">
      <w:pPr>
        <w:spacing w:line="288" w:lineRule="auto"/>
        <w:rPr>
          <w:rFonts w:ascii="Times New Roman" w:eastAsia="黑体" w:hAnsi="Times New Roman" w:cs="Times New Roman"/>
          <w:color w:val="000000"/>
          <w:sz w:val="24"/>
        </w:rPr>
      </w:pPr>
      <w:r w:rsidRPr="00E5200C">
        <w:rPr>
          <w:rFonts w:ascii="Times New Roman" w:eastAsia="黑体" w:hAnsi="Times New Roman" w:cs="Times New Roman"/>
          <w:color w:val="000000"/>
          <w:sz w:val="24"/>
        </w:rPr>
        <w:t>四、课程设置与学分要求</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硕士生课程包括学位课、非学位课和实践环节三个部分。应修课程总学分最低</w:t>
      </w:r>
      <w:r w:rsidRPr="00E5200C">
        <w:rPr>
          <w:rFonts w:ascii="Times New Roman" w:hAnsi="Times New Roman" w:cs="Times New Roman"/>
          <w:szCs w:val="21"/>
        </w:rPr>
        <w:t>34</w:t>
      </w:r>
      <w:r w:rsidRPr="00E5200C">
        <w:rPr>
          <w:rFonts w:ascii="Times New Roman" w:hAnsi="Times New Roman" w:cs="Times New Roman"/>
          <w:szCs w:val="21"/>
        </w:rPr>
        <w:t>分，其中公共学位课</w:t>
      </w:r>
      <w:r w:rsidRPr="00E5200C">
        <w:rPr>
          <w:rFonts w:ascii="Times New Roman" w:hAnsi="Times New Roman" w:cs="Times New Roman"/>
          <w:szCs w:val="21"/>
        </w:rPr>
        <w:t>9</w:t>
      </w:r>
      <w:r w:rsidRPr="00E5200C">
        <w:rPr>
          <w:rFonts w:ascii="Times New Roman" w:hAnsi="Times New Roman" w:cs="Times New Roman"/>
          <w:szCs w:val="21"/>
        </w:rPr>
        <w:t>学分，专业学位课不低于</w:t>
      </w:r>
      <w:r w:rsidRPr="00E5200C">
        <w:rPr>
          <w:rFonts w:ascii="Times New Roman" w:hAnsi="Times New Roman" w:cs="Times New Roman"/>
          <w:szCs w:val="21"/>
        </w:rPr>
        <w:t>10</w:t>
      </w:r>
      <w:r w:rsidRPr="00E5200C">
        <w:rPr>
          <w:rFonts w:ascii="Times New Roman" w:hAnsi="Times New Roman" w:cs="Times New Roman"/>
          <w:szCs w:val="21"/>
        </w:rPr>
        <w:t>学分，非学位课不低于</w:t>
      </w:r>
      <w:r w:rsidRPr="00E5200C">
        <w:rPr>
          <w:rFonts w:ascii="Times New Roman" w:hAnsi="Times New Roman" w:cs="Times New Roman"/>
          <w:szCs w:val="21"/>
        </w:rPr>
        <w:t>13</w:t>
      </w:r>
      <w:r w:rsidRPr="00E5200C">
        <w:rPr>
          <w:rFonts w:ascii="Times New Roman" w:hAnsi="Times New Roman" w:cs="Times New Roman"/>
          <w:szCs w:val="21"/>
        </w:rPr>
        <w:t>分，实践环节</w:t>
      </w:r>
      <w:r w:rsidRPr="00E5200C">
        <w:rPr>
          <w:rFonts w:ascii="Times New Roman" w:hAnsi="Times New Roman" w:cs="Times New Roman"/>
          <w:szCs w:val="21"/>
        </w:rPr>
        <w:t>2</w:t>
      </w:r>
      <w:r w:rsidRPr="00E5200C">
        <w:rPr>
          <w:rFonts w:ascii="Times New Roman" w:hAnsi="Times New Roman" w:cs="Times New Roman"/>
          <w:szCs w:val="21"/>
        </w:rPr>
        <w:t>学分。</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同等学力或跨专业攻读硕士学位的研究生，必须补修该专业本科阶段的主干课程</w:t>
      </w:r>
      <w:r w:rsidRPr="00E5200C">
        <w:rPr>
          <w:rFonts w:ascii="Times New Roman" w:hAnsi="Times New Roman" w:cs="Times New Roman"/>
          <w:szCs w:val="21"/>
        </w:rPr>
        <w:t>2</w:t>
      </w:r>
      <w:r w:rsidRPr="00E5200C">
        <w:rPr>
          <w:rFonts w:ascii="Times New Roman" w:hAnsi="Times New Roman" w:cs="Times New Roman"/>
          <w:szCs w:val="21"/>
        </w:rPr>
        <w:t>门并随本科生考试，成绩记入档案但不记学分。</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课程设置及学分见附表。</w:t>
      </w:r>
    </w:p>
    <w:p w:rsidR="008660EE" w:rsidRPr="00E5200C" w:rsidRDefault="008660EE" w:rsidP="008660EE">
      <w:pPr>
        <w:spacing w:line="288" w:lineRule="auto"/>
        <w:rPr>
          <w:rFonts w:ascii="Times New Roman" w:hAnsi="Times New Roman" w:cs="Times New Roman"/>
          <w:bCs/>
          <w:color w:val="000000"/>
          <w:szCs w:val="21"/>
        </w:rPr>
      </w:pPr>
      <w:r w:rsidRPr="00E5200C">
        <w:rPr>
          <w:rFonts w:ascii="Times New Roman" w:eastAsia="黑体" w:hAnsi="Times New Roman" w:cs="Times New Roman"/>
          <w:color w:val="000000"/>
          <w:sz w:val="24"/>
        </w:rPr>
        <w:t>五、实践环节</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硕士研究生应参加学术活动、教学实践、科研实践或社会实践等实践活动。</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学术活动为必修环节，</w:t>
      </w:r>
      <w:r w:rsidRPr="00E5200C">
        <w:rPr>
          <w:rFonts w:ascii="Times New Roman" w:hAnsi="Times New Roman" w:cs="Times New Roman"/>
          <w:szCs w:val="21"/>
        </w:rPr>
        <w:t>1</w:t>
      </w:r>
      <w:r w:rsidRPr="00E5200C">
        <w:rPr>
          <w:rFonts w:ascii="Times New Roman" w:hAnsi="Times New Roman" w:cs="Times New Roman"/>
          <w:szCs w:val="21"/>
        </w:rPr>
        <w:t>个学分。要求至少在院（系）及以上级别学术会议上做一次学术报告，每次</w:t>
      </w:r>
      <w:r w:rsidRPr="00E5200C">
        <w:rPr>
          <w:rFonts w:ascii="Times New Roman" w:hAnsi="Times New Roman" w:cs="Times New Roman"/>
          <w:szCs w:val="21"/>
        </w:rPr>
        <w:t>0.5</w:t>
      </w:r>
      <w:r w:rsidRPr="00E5200C">
        <w:rPr>
          <w:rFonts w:ascii="Times New Roman" w:hAnsi="Times New Roman" w:cs="Times New Roman"/>
          <w:szCs w:val="21"/>
        </w:rPr>
        <w:t>学分，要求参加院（系）及以上级别学术活动至少</w:t>
      </w:r>
      <w:r w:rsidRPr="00E5200C">
        <w:rPr>
          <w:rFonts w:ascii="Times New Roman" w:hAnsi="Times New Roman" w:cs="Times New Roman"/>
          <w:szCs w:val="21"/>
        </w:rPr>
        <w:t>5</w:t>
      </w:r>
      <w:r w:rsidRPr="00E5200C">
        <w:rPr>
          <w:rFonts w:ascii="Times New Roman" w:hAnsi="Times New Roman" w:cs="Times New Roman"/>
          <w:szCs w:val="21"/>
        </w:rPr>
        <w:t>次，每次</w:t>
      </w:r>
      <w:r w:rsidRPr="00E5200C">
        <w:rPr>
          <w:rFonts w:ascii="Times New Roman" w:hAnsi="Times New Roman" w:cs="Times New Roman"/>
          <w:szCs w:val="21"/>
        </w:rPr>
        <w:t>0.1</w:t>
      </w:r>
      <w:r w:rsidRPr="00E5200C">
        <w:rPr>
          <w:rFonts w:ascii="Times New Roman" w:hAnsi="Times New Roman" w:cs="Times New Roman"/>
          <w:szCs w:val="21"/>
        </w:rPr>
        <w:t>学分。</w:t>
      </w:r>
    </w:p>
    <w:p w:rsidR="008660EE" w:rsidRPr="00E5200C" w:rsidRDefault="008660EE" w:rsidP="008660EE">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在教学实践、科研实践或社会实践中选择至少</w:t>
      </w:r>
      <w:r w:rsidRPr="00E5200C">
        <w:rPr>
          <w:rFonts w:ascii="Times New Roman" w:hAnsi="Times New Roman" w:cs="Times New Roman"/>
          <w:szCs w:val="21"/>
        </w:rPr>
        <w:t>1</w:t>
      </w:r>
      <w:r w:rsidRPr="00E5200C">
        <w:rPr>
          <w:rFonts w:ascii="Times New Roman" w:hAnsi="Times New Roman" w:cs="Times New Roman"/>
          <w:szCs w:val="21"/>
        </w:rPr>
        <w:t>个实践环节进行实践活动，考核合格后取得</w:t>
      </w:r>
      <w:r w:rsidRPr="00E5200C">
        <w:rPr>
          <w:rFonts w:ascii="Times New Roman" w:hAnsi="Times New Roman" w:cs="Times New Roman"/>
          <w:szCs w:val="21"/>
        </w:rPr>
        <w:t>1</w:t>
      </w:r>
      <w:r w:rsidRPr="00E5200C">
        <w:rPr>
          <w:rFonts w:ascii="Times New Roman" w:hAnsi="Times New Roman" w:cs="Times New Roman"/>
          <w:szCs w:val="21"/>
        </w:rPr>
        <w:t>学分。</w:t>
      </w:r>
    </w:p>
    <w:p w:rsidR="008660EE" w:rsidRPr="00E5200C" w:rsidRDefault="008660EE" w:rsidP="008660EE">
      <w:pPr>
        <w:snapToGrid w:val="0"/>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硕士研究生需向学院提交经导师签字认可的《长江大学学术型硕士研究生参加学术活动、实践活动考核登记本》，方可取</w:t>
      </w:r>
      <w:proofErr w:type="gramStart"/>
      <w:r w:rsidRPr="00E5200C">
        <w:rPr>
          <w:rFonts w:ascii="Times New Roman" w:hAnsi="Times New Roman" w:cs="Times New Roman"/>
          <w:szCs w:val="21"/>
        </w:rPr>
        <w:t>得学术</w:t>
      </w:r>
      <w:proofErr w:type="gramEnd"/>
      <w:r w:rsidRPr="00E5200C">
        <w:rPr>
          <w:rFonts w:ascii="Times New Roman" w:hAnsi="Times New Roman" w:cs="Times New Roman"/>
          <w:szCs w:val="21"/>
        </w:rPr>
        <w:t>活动和实践活动学分。</w:t>
      </w:r>
    </w:p>
    <w:p w:rsidR="008660EE" w:rsidRPr="00E5200C" w:rsidRDefault="008660EE" w:rsidP="008660EE">
      <w:pPr>
        <w:spacing w:line="288" w:lineRule="auto"/>
        <w:rPr>
          <w:rFonts w:ascii="Times New Roman" w:hAnsi="Times New Roman" w:cs="Times New Roman"/>
          <w:color w:val="000000"/>
        </w:rPr>
      </w:pPr>
      <w:r w:rsidRPr="00E5200C">
        <w:rPr>
          <w:rFonts w:ascii="Times New Roman" w:eastAsia="黑体" w:hAnsi="Times New Roman" w:cs="Times New Roman"/>
          <w:color w:val="000000"/>
          <w:sz w:val="24"/>
        </w:rPr>
        <w:t>六、中期考核</w:t>
      </w:r>
    </w:p>
    <w:p w:rsidR="008660EE" w:rsidRPr="00E5200C" w:rsidRDefault="008660EE" w:rsidP="008660EE">
      <w:pPr>
        <w:spacing w:line="288" w:lineRule="auto"/>
        <w:ind w:firstLine="480"/>
        <w:rPr>
          <w:rFonts w:ascii="Times New Roman" w:hAnsi="Times New Roman" w:cs="Times New Roman"/>
          <w:color w:val="000000"/>
        </w:rPr>
      </w:pPr>
      <w:r w:rsidRPr="00E5200C">
        <w:rPr>
          <w:rFonts w:ascii="Times New Roman" w:hAnsi="Times New Roman" w:cs="Times New Roman"/>
          <w:color w:val="000000"/>
        </w:rPr>
        <w:t>由研究生院负责组织，各培养学院具体组织实施。</w:t>
      </w:r>
      <w:r w:rsidR="00B53D4D" w:rsidRPr="00E5200C">
        <w:rPr>
          <w:rFonts w:ascii="Times New Roman" w:hAnsi="Times New Roman" w:cs="Times New Roman"/>
          <w:color w:val="000000"/>
        </w:rPr>
        <w:t>从学生思想政治表现与道德品质状况、研究生课程考试成绩、实践与科研能力、健康状况四个方面评定等级，填写中期考核表。考核结果分为优秀、合格、不合格。</w:t>
      </w:r>
    </w:p>
    <w:p w:rsidR="00586EE5" w:rsidRPr="00E5200C" w:rsidRDefault="00586EE5" w:rsidP="00586EE5">
      <w:pPr>
        <w:widowControl/>
        <w:spacing w:line="288" w:lineRule="auto"/>
        <w:ind w:firstLineChars="150" w:firstLine="315"/>
        <w:jc w:val="left"/>
        <w:rPr>
          <w:rFonts w:ascii="Times New Roman" w:hAnsi="Times New Roman" w:cs="Times New Roman"/>
          <w:color w:val="000000"/>
          <w:kern w:val="0"/>
          <w:szCs w:val="21"/>
        </w:rPr>
      </w:pPr>
      <w:r w:rsidRPr="00E5200C">
        <w:rPr>
          <w:rFonts w:ascii="Times New Roman" w:hAnsi="Times New Roman" w:cs="Times New Roman"/>
          <w:color w:val="000000"/>
          <w:kern w:val="0"/>
          <w:szCs w:val="21"/>
        </w:rPr>
        <w:t>（一）中期考核优秀者，可按学校相关规定申请提前毕业；</w:t>
      </w:r>
    </w:p>
    <w:p w:rsidR="00586EE5" w:rsidRPr="00E5200C" w:rsidRDefault="00586EE5" w:rsidP="00586EE5">
      <w:pPr>
        <w:widowControl/>
        <w:spacing w:line="288" w:lineRule="auto"/>
        <w:ind w:firstLineChars="150" w:firstLine="315"/>
        <w:jc w:val="left"/>
        <w:rPr>
          <w:rFonts w:ascii="Times New Roman" w:hAnsi="Times New Roman" w:cs="Times New Roman"/>
          <w:color w:val="000000"/>
          <w:kern w:val="0"/>
          <w:szCs w:val="21"/>
        </w:rPr>
      </w:pPr>
      <w:r w:rsidRPr="00E5200C">
        <w:rPr>
          <w:rFonts w:ascii="Times New Roman" w:hAnsi="Times New Roman" w:cs="Times New Roman"/>
          <w:color w:val="000000"/>
          <w:kern w:val="0"/>
          <w:szCs w:val="21"/>
        </w:rPr>
        <w:t>（二）中期考核合格者，可继续按培养计划攻读硕士学位，进入论文阶段学习；</w:t>
      </w:r>
    </w:p>
    <w:p w:rsidR="00586EE5" w:rsidRPr="00E5200C" w:rsidRDefault="00586EE5" w:rsidP="00586EE5">
      <w:pPr>
        <w:spacing w:line="288" w:lineRule="auto"/>
        <w:ind w:firstLineChars="150" w:firstLine="315"/>
        <w:rPr>
          <w:rFonts w:ascii="Times New Roman" w:eastAsia="宋体" w:hAnsi="Times New Roman" w:cs="Times New Roman"/>
          <w:color w:val="000000"/>
          <w:kern w:val="0"/>
          <w:sz w:val="24"/>
          <w:szCs w:val="24"/>
        </w:rPr>
      </w:pPr>
      <w:r w:rsidRPr="00E5200C">
        <w:rPr>
          <w:rFonts w:ascii="Times New Roman" w:hAnsi="Times New Roman" w:cs="Times New Roman"/>
          <w:color w:val="000000"/>
          <w:kern w:val="0"/>
          <w:szCs w:val="21"/>
        </w:rPr>
        <w:lastRenderedPageBreak/>
        <w:t>（三）中期考核不合格者，在征得本人和导师同意后，终止培养，做退学处理；也可申请延期半年或一年重新考核，并填写《长江大学研究生中期考核延期重审申请表》，第二次考核仍未通过，做退学处理</w:t>
      </w:r>
      <w:r w:rsidRPr="00E5200C">
        <w:rPr>
          <w:rFonts w:ascii="Times New Roman" w:eastAsia="宋体" w:hAnsi="Times New Roman" w:cs="Times New Roman"/>
          <w:color w:val="000000"/>
          <w:kern w:val="0"/>
          <w:sz w:val="24"/>
          <w:szCs w:val="24"/>
        </w:rPr>
        <w:t>。</w:t>
      </w:r>
    </w:p>
    <w:p w:rsidR="00586EE5" w:rsidRPr="00E5200C" w:rsidRDefault="00586EE5" w:rsidP="00586EE5">
      <w:pPr>
        <w:spacing w:line="288" w:lineRule="auto"/>
        <w:ind w:firstLineChars="200" w:firstLine="420"/>
        <w:rPr>
          <w:rFonts w:ascii="Times New Roman" w:hAnsi="Times New Roman" w:cs="Times New Roman"/>
          <w:color w:val="000000"/>
          <w:szCs w:val="21"/>
        </w:rPr>
      </w:pPr>
      <w:r w:rsidRPr="00E5200C">
        <w:rPr>
          <w:rFonts w:ascii="Times New Roman" w:eastAsia="宋体" w:hAnsi="Times New Roman" w:cs="Times New Roman"/>
          <w:color w:val="000000"/>
          <w:kern w:val="0"/>
          <w:szCs w:val="21"/>
        </w:rPr>
        <w:t>具体考核标准参考学校相关文件</w:t>
      </w:r>
      <w:r w:rsidRPr="00E5200C">
        <w:rPr>
          <w:rFonts w:ascii="Times New Roman" w:eastAsia="宋体" w:hAnsi="Times New Roman" w:cs="Times New Roman"/>
          <w:color w:val="000000"/>
          <w:kern w:val="0"/>
          <w:sz w:val="24"/>
          <w:szCs w:val="24"/>
        </w:rPr>
        <w:t>。</w:t>
      </w:r>
    </w:p>
    <w:p w:rsidR="008660EE" w:rsidRPr="00E5200C" w:rsidRDefault="008660EE" w:rsidP="008660EE">
      <w:pPr>
        <w:spacing w:line="288" w:lineRule="auto"/>
        <w:rPr>
          <w:rFonts w:ascii="Times New Roman" w:hAnsi="Times New Roman" w:cs="Times New Roman"/>
          <w:color w:val="000000"/>
          <w:szCs w:val="21"/>
        </w:rPr>
      </w:pPr>
      <w:r w:rsidRPr="00E5200C">
        <w:rPr>
          <w:rFonts w:ascii="Times New Roman" w:eastAsia="黑体" w:hAnsi="Times New Roman" w:cs="Times New Roman"/>
          <w:color w:val="000000"/>
          <w:sz w:val="24"/>
        </w:rPr>
        <w:t>七、学位论文</w:t>
      </w:r>
    </w:p>
    <w:p w:rsidR="00586EE5"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硕士学位论文反映了硕士生是否在科学研究方面受到较全面的训练，是否培养了从事科学研究或独立担负专门技术工作能力，是衡量硕士生学术水平和知识能力的重要标志。本学科学位论文完全依照学校相关文件执行。</w:t>
      </w:r>
    </w:p>
    <w:p w:rsidR="008660EE" w:rsidRPr="00E5200C" w:rsidRDefault="008660EE" w:rsidP="008660EE">
      <w:pPr>
        <w:spacing w:line="288" w:lineRule="auto"/>
        <w:rPr>
          <w:rFonts w:ascii="Times New Roman" w:hAnsi="Times New Roman" w:cs="Times New Roman"/>
          <w:color w:val="000000"/>
          <w:szCs w:val="21"/>
        </w:rPr>
      </w:pPr>
      <w:r w:rsidRPr="00E5200C">
        <w:rPr>
          <w:rFonts w:ascii="Times New Roman" w:eastAsia="黑体" w:hAnsi="Times New Roman" w:cs="Times New Roman"/>
          <w:color w:val="000000"/>
          <w:sz w:val="24"/>
        </w:rPr>
        <w:t>八、培养方式</w:t>
      </w:r>
    </w:p>
    <w:p w:rsidR="00586EE5"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1</w:t>
      </w:r>
      <w:r w:rsidRPr="00E5200C">
        <w:rPr>
          <w:rFonts w:ascii="Times New Roman" w:hAnsi="Times New Roman" w:cs="Times New Roman"/>
          <w:szCs w:val="21"/>
        </w:rPr>
        <w:t>、导师应根据培养方案的要求和因材施教的原则，从每个硕士生的具体情况出发，在硕士生入学后一个月内制订出研究生的培养计划。</w:t>
      </w:r>
    </w:p>
    <w:p w:rsidR="00586EE5"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2</w:t>
      </w:r>
      <w:r w:rsidRPr="00E5200C">
        <w:rPr>
          <w:rFonts w:ascii="Times New Roman" w:hAnsi="Times New Roman" w:cs="Times New Roman"/>
          <w:szCs w:val="21"/>
        </w:rPr>
        <w:t>、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rsidR="00586EE5"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3</w:t>
      </w:r>
      <w:r w:rsidRPr="00E5200C">
        <w:rPr>
          <w:rFonts w:ascii="Times New Roman" w:hAnsi="Times New Roman" w:cs="Times New Roman"/>
          <w:szCs w:val="21"/>
        </w:rPr>
        <w:t>、硕士生指导采取导师负责制或指导小组集体培养的方式。</w:t>
      </w:r>
    </w:p>
    <w:p w:rsidR="00586EE5"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4</w:t>
      </w:r>
      <w:r w:rsidRPr="00E5200C">
        <w:rPr>
          <w:rFonts w:ascii="Times New Roman" w:hAnsi="Times New Roman" w:cs="Times New Roman"/>
          <w:szCs w:val="21"/>
        </w:rPr>
        <w:t>、硕士生的课程学习强调学位课以听课为主，统一考试；选修课可以采取考试、写读书报告的形式完成。教师的作用在于启发他们深入思考与正确判断，培养硕士生独立分析问题和解决问题的能力。</w:t>
      </w:r>
    </w:p>
    <w:p w:rsidR="00E5200C" w:rsidRPr="00E5200C" w:rsidRDefault="00586EE5" w:rsidP="00586EE5">
      <w:pPr>
        <w:spacing w:line="288" w:lineRule="auto"/>
        <w:ind w:firstLineChars="200" w:firstLine="420"/>
        <w:rPr>
          <w:rFonts w:ascii="Times New Roman" w:hAnsi="Times New Roman" w:cs="Times New Roman"/>
          <w:szCs w:val="21"/>
        </w:rPr>
      </w:pPr>
      <w:r w:rsidRPr="00E5200C">
        <w:rPr>
          <w:rFonts w:ascii="Times New Roman" w:hAnsi="Times New Roman" w:cs="Times New Roman"/>
          <w:szCs w:val="21"/>
        </w:rPr>
        <w:t>5</w:t>
      </w:r>
      <w:r w:rsidRPr="00E5200C">
        <w:rPr>
          <w:rFonts w:ascii="Times New Roman" w:hAnsi="Times New Roman" w:cs="Times New Roman"/>
          <w:szCs w:val="21"/>
        </w:rPr>
        <w:t>、加强硕士生的思想政治工作和道德品质教育，要求硕士生认真参加政治理论课和时事政策的学习，积极参加公益劳动。</w:t>
      </w:r>
    </w:p>
    <w:p w:rsidR="00E5200C" w:rsidRPr="00E5200C" w:rsidRDefault="00E5200C">
      <w:pPr>
        <w:widowControl/>
        <w:jc w:val="left"/>
        <w:rPr>
          <w:rFonts w:ascii="Times New Roman" w:hAnsi="Times New Roman" w:cs="Times New Roman"/>
          <w:szCs w:val="21"/>
        </w:rPr>
      </w:pPr>
      <w:r w:rsidRPr="00E5200C">
        <w:rPr>
          <w:rFonts w:ascii="Times New Roman" w:hAnsi="Times New Roman" w:cs="Times New Roman"/>
          <w:szCs w:val="21"/>
        </w:rPr>
        <w:br w:type="page"/>
      </w:r>
    </w:p>
    <w:p w:rsidR="00E5200C" w:rsidRPr="00E5200C" w:rsidRDefault="00DA53D1" w:rsidP="006362C2">
      <w:pPr>
        <w:widowControl/>
        <w:ind w:leftChars="-200" w:left="-420"/>
        <w:jc w:val="left"/>
        <w:rPr>
          <w:rFonts w:ascii="Times New Roman" w:hAnsi="Times New Roman" w:cs="Times New Roman"/>
          <w:b/>
          <w:bCs/>
          <w:sz w:val="28"/>
          <w:szCs w:val="28"/>
        </w:rPr>
      </w:pPr>
      <w:r w:rsidRPr="00E5200C">
        <w:rPr>
          <w:rFonts w:ascii="Times New Roman" w:hAnsi="Times New Roman" w:cs="Times New Roman"/>
          <w:sz w:val="24"/>
          <w:szCs w:val="21"/>
        </w:rPr>
        <w:lastRenderedPageBreak/>
        <w:t>附表：</w:t>
      </w:r>
      <w:r w:rsidRPr="00E5200C">
        <w:rPr>
          <w:rFonts w:ascii="Times New Roman" w:hAnsi="Times New Roman" w:cs="Times New Roman"/>
          <w:b/>
          <w:bCs/>
          <w:sz w:val="28"/>
          <w:szCs w:val="28"/>
        </w:rPr>
        <w:t>0818Z5</w:t>
      </w:r>
      <w:r w:rsidRPr="00E5200C">
        <w:rPr>
          <w:rFonts w:ascii="Times New Roman" w:hAnsi="Times New Roman" w:cs="Times New Roman"/>
          <w:b/>
          <w:bCs/>
          <w:sz w:val="28"/>
          <w:szCs w:val="28"/>
        </w:rPr>
        <w:t>油气信息探测与仪器装备专业硕士研究生课程设置一览表</w:t>
      </w:r>
    </w:p>
    <w:tbl>
      <w:tblPr>
        <w:tblW w:w="8784" w:type="dxa"/>
        <w:tblInd w:w="113" w:type="dxa"/>
        <w:tblLayout w:type="fixed"/>
        <w:tblLook w:val="04A0" w:firstRow="1" w:lastRow="0" w:firstColumn="1" w:lastColumn="0" w:noHBand="0" w:noVBand="1"/>
      </w:tblPr>
      <w:tblGrid>
        <w:gridCol w:w="421"/>
        <w:gridCol w:w="425"/>
        <w:gridCol w:w="2332"/>
        <w:gridCol w:w="406"/>
        <w:gridCol w:w="396"/>
        <w:gridCol w:w="416"/>
        <w:gridCol w:w="475"/>
        <w:gridCol w:w="469"/>
        <w:gridCol w:w="480"/>
        <w:gridCol w:w="480"/>
        <w:gridCol w:w="1492"/>
        <w:gridCol w:w="992"/>
      </w:tblGrid>
      <w:tr w:rsidR="00E5200C" w:rsidRPr="00E5200C" w:rsidTr="00E5200C">
        <w:trPr>
          <w:trHeight w:val="600"/>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课程</w:t>
            </w:r>
          </w:p>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结构</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课程名称</w:t>
            </w:r>
          </w:p>
        </w:tc>
        <w:tc>
          <w:tcPr>
            <w:tcW w:w="802" w:type="dxa"/>
            <w:gridSpan w:val="2"/>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学时</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学分</w:t>
            </w:r>
          </w:p>
        </w:tc>
        <w:tc>
          <w:tcPr>
            <w:tcW w:w="1904" w:type="dxa"/>
            <w:gridSpan w:val="4"/>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 xml:space="preserve">开课学期　　</w:t>
            </w:r>
          </w:p>
        </w:tc>
        <w:tc>
          <w:tcPr>
            <w:tcW w:w="1492" w:type="dxa"/>
            <w:vMerge w:val="restart"/>
            <w:tcBorders>
              <w:top w:val="single" w:sz="4" w:space="0" w:color="auto"/>
              <w:left w:val="nil"/>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开课单位</w:t>
            </w:r>
          </w:p>
        </w:tc>
        <w:tc>
          <w:tcPr>
            <w:tcW w:w="992" w:type="dxa"/>
            <w:vMerge w:val="restart"/>
            <w:tcBorders>
              <w:top w:val="single" w:sz="4" w:space="0" w:color="auto"/>
              <w:left w:val="nil"/>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备注</w:t>
            </w:r>
          </w:p>
        </w:tc>
      </w:tr>
      <w:tr w:rsidR="00E5200C" w:rsidRPr="00E5200C" w:rsidTr="00E5200C">
        <w:trPr>
          <w:trHeight w:val="499"/>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理论</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实验</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第一学期</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第二学期</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第三学期</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第四学期</w:t>
            </w:r>
          </w:p>
        </w:tc>
        <w:tc>
          <w:tcPr>
            <w:tcW w:w="1492" w:type="dxa"/>
            <w:vMerge/>
            <w:tcBorders>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22"/>
              </w:rPr>
            </w:pPr>
          </w:p>
        </w:tc>
        <w:tc>
          <w:tcPr>
            <w:tcW w:w="992" w:type="dxa"/>
            <w:vMerge/>
            <w:tcBorders>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22"/>
              </w:rPr>
            </w:pPr>
          </w:p>
        </w:tc>
      </w:tr>
      <w:tr w:rsidR="00E5200C" w:rsidRPr="00E5200C" w:rsidTr="00E5200C">
        <w:trPr>
          <w:trHeight w:val="289"/>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学位课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公共学位课</w:t>
            </w: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自然辩证法概论</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马克思主义学院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必修</w:t>
            </w: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中国特色社会主义理论与实践研究</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36</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马克思主义学院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英语读写</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60</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入学前未过六级者必修</w:t>
            </w: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英语听说</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60</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英语演讲</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48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入学前已过六级者选修</w:t>
            </w:r>
            <w:r w:rsidRPr="00E5200C">
              <w:rPr>
                <w:rFonts w:ascii="Times New Roman" w:eastAsia="宋体" w:hAnsi="Times New Roman" w:cs="Times New Roman"/>
                <w:color w:val="000000"/>
                <w:kern w:val="0"/>
                <w:sz w:val="18"/>
                <w:szCs w:val="18"/>
              </w:rPr>
              <w:t>2</w:t>
            </w:r>
            <w:r w:rsidRPr="00E5200C">
              <w:rPr>
                <w:rFonts w:ascii="Times New Roman" w:eastAsia="等线" w:hAnsi="Times New Roman" w:cs="Times New Roman"/>
                <w:color w:val="000000"/>
                <w:kern w:val="0"/>
                <w:sz w:val="18"/>
                <w:szCs w:val="18"/>
              </w:rPr>
              <w:t>门，</w:t>
            </w:r>
            <w:r w:rsidRPr="00E5200C">
              <w:rPr>
                <w:rFonts w:ascii="Times New Roman" w:eastAsia="等线" w:hAnsi="Times New Roman" w:cs="Times New Roman"/>
                <w:color w:val="000000"/>
                <w:kern w:val="0"/>
                <w:sz w:val="18"/>
                <w:szCs w:val="18"/>
              </w:rPr>
              <w:t>≥</w:t>
            </w:r>
            <w:r w:rsidRPr="00E5200C">
              <w:rPr>
                <w:rFonts w:ascii="Times New Roman" w:eastAsia="宋体" w:hAnsi="Times New Roman" w:cs="Times New Roman"/>
                <w:color w:val="000000"/>
                <w:kern w:val="0"/>
                <w:sz w:val="18"/>
                <w:szCs w:val="18"/>
              </w:rPr>
              <w:t>6</w:t>
            </w:r>
            <w:r w:rsidRPr="00E5200C">
              <w:rPr>
                <w:rFonts w:ascii="Times New Roman" w:eastAsia="等线" w:hAnsi="Times New Roman" w:cs="Times New Roman"/>
                <w:color w:val="000000"/>
                <w:kern w:val="0"/>
                <w:sz w:val="18"/>
                <w:szCs w:val="18"/>
              </w:rPr>
              <w:t>学分</w:t>
            </w: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跨文化交流</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48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科技英语写作与翻译</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48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国际学术交流实用英语</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48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外语学院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专业学位课</w:t>
            </w: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矩阵理论（数理统计）</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数学学院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必选</w:t>
            </w: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随机过程（非数学专业）</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数学学院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信号检测与估值</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bookmarkStart w:id="0" w:name="_GoBack"/>
            <w:r w:rsidRPr="00E5200C">
              <w:rPr>
                <w:rFonts w:ascii="Times New Roman" w:eastAsia="宋体" w:hAnsi="Times New Roman" w:cs="Times New Roman"/>
                <w:color w:val="000000"/>
                <w:kern w:val="0"/>
                <w:sz w:val="18"/>
                <w:szCs w:val="18"/>
              </w:rPr>
              <w:t>≥6</w:t>
            </w:r>
            <w:r w:rsidRPr="00E5200C">
              <w:rPr>
                <w:rFonts w:ascii="Times New Roman" w:eastAsia="等线" w:hAnsi="Times New Roman" w:cs="Times New Roman"/>
                <w:color w:val="000000"/>
                <w:kern w:val="0"/>
                <w:sz w:val="18"/>
                <w:szCs w:val="18"/>
              </w:rPr>
              <w:t>学分</w:t>
            </w:r>
            <w:bookmarkEnd w:id="0"/>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现代信号处理</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现代通信理论与技术</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地球物理正演模拟计算</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9"/>
        </w:trPr>
        <w:tc>
          <w:tcPr>
            <w:tcW w:w="421"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地球物理仪器</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p>
        </w:tc>
      </w:tr>
      <w:tr w:rsidR="00E5200C" w:rsidRPr="00E5200C" w:rsidTr="00E5200C">
        <w:trPr>
          <w:trHeight w:val="285"/>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非学</w:t>
            </w:r>
          </w:p>
          <w:p w:rsidR="00E5200C" w:rsidRPr="00E5200C" w:rsidRDefault="00E5200C" w:rsidP="00E5200C">
            <w:pPr>
              <w:widowControl/>
              <w:jc w:val="center"/>
              <w:rPr>
                <w:rFonts w:ascii="Times New Roman" w:eastAsia="等线" w:hAnsi="Times New Roman" w:cs="Times New Roman"/>
                <w:color w:val="000000"/>
                <w:kern w:val="0"/>
                <w:sz w:val="20"/>
                <w:szCs w:val="20"/>
              </w:rPr>
            </w:pPr>
            <w:proofErr w:type="gramStart"/>
            <w:r w:rsidRPr="00E5200C">
              <w:rPr>
                <w:rFonts w:ascii="Times New Roman" w:eastAsia="等线" w:hAnsi="Times New Roman" w:cs="Times New Roman"/>
                <w:color w:val="000000"/>
                <w:kern w:val="0"/>
                <w:sz w:val="20"/>
                <w:szCs w:val="20"/>
              </w:rPr>
              <w:t>位课</w:t>
            </w:r>
            <w:proofErr w:type="gramEnd"/>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人工智能与模式识别</w:t>
            </w:r>
            <w:r w:rsidRPr="00E5200C">
              <w:rPr>
                <w:rFonts w:ascii="Times New Roman" w:eastAsia="宋体" w:hAnsi="Times New Roman" w:cs="Times New Roman"/>
                <w:kern w:val="0"/>
                <w:sz w:val="18"/>
                <w:szCs w:val="18"/>
              </w:rPr>
              <w:t xml:space="preserve">      </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≥13</w:t>
            </w:r>
            <w:r w:rsidRPr="00E5200C">
              <w:rPr>
                <w:rFonts w:ascii="Times New Roman" w:eastAsia="等线" w:hAnsi="Times New Roman" w:cs="Times New Roman"/>
                <w:color w:val="000000"/>
                <w:kern w:val="0"/>
                <w:sz w:val="18"/>
                <w:szCs w:val="18"/>
              </w:rPr>
              <w:t>学分</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数字图像处理与分析</w:t>
            </w:r>
            <w:r w:rsidRPr="00E5200C">
              <w:rPr>
                <w:rFonts w:ascii="Times New Roman" w:eastAsia="宋体" w:hAnsi="Times New Roman" w:cs="Times New Roman"/>
                <w:color w:val="000000"/>
                <w:kern w:val="0"/>
                <w:sz w:val="18"/>
                <w:szCs w:val="18"/>
              </w:rPr>
              <w:t xml:space="preserve">        </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最优化方法</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数学学院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现代检测技术</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无线网络技术</w:t>
            </w:r>
            <w:r w:rsidRPr="00E5200C">
              <w:rPr>
                <w:rFonts w:ascii="Times New Roman" w:eastAsia="宋体" w:hAnsi="Times New Roman" w:cs="Times New Roman"/>
                <w:color w:val="000000"/>
                <w:kern w:val="0"/>
                <w:sz w:val="18"/>
                <w:szCs w:val="18"/>
              </w:rPr>
              <w:t xml:space="preserve">              </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嵌入式系统原理与应用</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计算机接口与控制</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DSP</w:t>
            </w:r>
            <w:r w:rsidRPr="00E5200C">
              <w:rPr>
                <w:rFonts w:ascii="Times New Roman" w:eastAsia="宋体" w:hAnsi="Times New Roman" w:cs="Times New Roman"/>
                <w:color w:val="000000"/>
                <w:kern w:val="0"/>
                <w:sz w:val="22"/>
              </w:rPr>
              <w:t>与实时信号处理</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16</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大数据与</w:t>
            </w:r>
            <w:proofErr w:type="gramStart"/>
            <w:r w:rsidRPr="00E5200C">
              <w:rPr>
                <w:rFonts w:ascii="Times New Roman" w:eastAsia="宋体" w:hAnsi="Times New Roman" w:cs="Times New Roman"/>
                <w:kern w:val="0"/>
                <w:sz w:val="18"/>
                <w:szCs w:val="18"/>
              </w:rPr>
              <w:t>云计算</w:t>
            </w:r>
            <w:proofErr w:type="gramEnd"/>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DDC</w:t>
            </w:r>
            <w:r w:rsidRPr="00E5200C">
              <w:rPr>
                <w:rFonts w:ascii="Times New Roman" w:eastAsia="宋体" w:hAnsi="Times New Roman" w:cs="Times New Roman"/>
                <w:kern w:val="0"/>
                <w:sz w:val="18"/>
                <w:szCs w:val="18"/>
              </w:rPr>
              <w:t>数字直接控制系统原理与设计</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kern w:val="0"/>
                <w:sz w:val="18"/>
                <w:szCs w:val="18"/>
              </w:rPr>
            </w:pPr>
            <w:r w:rsidRPr="00E5200C">
              <w:rPr>
                <w:rFonts w:ascii="Times New Roman" w:eastAsia="宋体" w:hAnsi="Times New Roman" w:cs="Times New Roman"/>
                <w:kern w:val="0"/>
                <w:sz w:val="18"/>
                <w:szCs w:val="18"/>
              </w:rPr>
              <w:t>光纤传感技术</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2</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电信技术专题</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16</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电信学院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补修课</w:t>
            </w: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复杂储层测井评价</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地物学院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不计学分</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多波多分量地震勘探</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地物学院　</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地球物理测井</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48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地物学院</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实践</w:t>
            </w:r>
          </w:p>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环节</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学术活动</w:t>
            </w: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18</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必选</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教学实践</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18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至少选一</w:t>
            </w:r>
            <w:r w:rsidRPr="00E5200C">
              <w:rPr>
                <w:rFonts w:ascii="Times New Roman" w:eastAsia="等线" w:hAnsi="Times New Roman" w:cs="Times New Roman"/>
                <w:color w:val="000000"/>
                <w:kern w:val="0"/>
                <w:sz w:val="18"/>
                <w:szCs w:val="18"/>
              </w:rPr>
              <w:lastRenderedPageBreak/>
              <w:t>个环节</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社会实践</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18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科研实践</w:t>
            </w:r>
          </w:p>
        </w:tc>
        <w:tc>
          <w:tcPr>
            <w:tcW w:w="40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18</w:t>
            </w:r>
          </w:p>
        </w:tc>
        <w:tc>
          <w:tcPr>
            <w:tcW w:w="39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475"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69"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 xml:space="preserve">　</w:t>
            </w:r>
          </w:p>
        </w:tc>
        <w:tc>
          <w:tcPr>
            <w:tcW w:w="992" w:type="dxa"/>
            <w:vMerge/>
            <w:tcBorders>
              <w:top w:val="nil"/>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p>
        </w:tc>
      </w:tr>
      <w:tr w:rsidR="00E5200C" w:rsidRPr="00E5200C" w:rsidTr="00E5200C">
        <w:trPr>
          <w:trHeight w:val="285"/>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学习</w:t>
            </w:r>
          </w:p>
          <w:p w:rsidR="00E5200C" w:rsidRPr="00E5200C" w:rsidRDefault="00E5200C" w:rsidP="00E5200C">
            <w:pPr>
              <w:widowControl/>
              <w:jc w:val="center"/>
              <w:rPr>
                <w:rFonts w:ascii="Times New Roman" w:eastAsia="等线" w:hAnsi="Times New Roman" w:cs="Times New Roman"/>
                <w:color w:val="000000"/>
                <w:kern w:val="0"/>
                <w:sz w:val="20"/>
                <w:szCs w:val="20"/>
              </w:rPr>
            </w:pPr>
            <w:r w:rsidRPr="00E5200C">
              <w:rPr>
                <w:rFonts w:ascii="Times New Roman" w:eastAsia="等线" w:hAnsi="Times New Roman" w:cs="Times New Roman"/>
                <w:color w:val="000000"/>
                <w:kern w:val="0"/>
                <w:sz w:val="20"/>
                <w:szCs w:val="20"/>
              </w:rPr>
              <w:t>要求</w:t>
            </w: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应修最低课程学分</w:t>
            </w:r>
          </w:p>
        </w:tc>
        <w:tc>
          <w:tcPr>
            <w:tcW w:w="406"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32</w:t>
            </w:r>
          </w:p>
        </w:tc>
        <w:tc>
          <w:tcPr>
            <w:tcW w:w="17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学位课最低学分</w:t>
            </w:r>
          </w:p>
        </w:tc>
        <w:tc>
          <w:tcPr>
            <w:tcW w:w="480"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19</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非学位课最低学分</w:t>
            </w:r>
          </w:p>
        </w:tc>
        <w:tc>
          <w:tcPr>
            <w:tcW w:w="992"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13</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学术活动（必修）学分</w:t>
            </w:r>
          </w:p>
        </w:tc>
        <w:tc>
          <w:tcPr>
            <w:tcW w:w="406"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17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r>
      <w:tr w:rsidR="00E5200C" w:rsidRPr="00E5200C" w:rsidTr="00E5200C">
        <w:trPr>
          <w:trHeight w:val="28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5200C" w:rsidRPr="00E5200C" w:rsidRDefault="00E5200C" w:rsidP="00E5200C">
            <w:pPr>
              <w:widowControl/>
              <w:jc w:val="left"/>
              <w:rPr>
                <w:rFonts w:ascii="Times New Roman" w:eastAsia="等线" w:hAnsi="Times New Roman" w:cs="Times New Roman"/>
                <w:color w:val="000000"/>
                <w:kern w:val="0"/>
                <w:sz w:val="20"/>
                <w:szCs w:val="20"/>
              </w:rPr>
            </w:pPr>
          </w:p>
        </w:tc>
        <w:tc>
          <w:tcPr>
            <w:tcW w:w="2332" w:type="dxa"/>
            <w:tcBorders>
              <w:top w:val="nil"/>
              <w:left w:val="nil"/>
              <w:bottom w:val="single" w:sz="4" w:space="0" w:color="auto"/>
              <w:right w:val="single" w:sz="4" w:space="0" w:color="auto"/>
            </w:tcBorders>
            <w:shd w:val="clear" w:color="auto" w:fill="auto"/>
            <w:vAlign w:val="center"/>
            <w:hideMark/>
          </w:tcPr>
          <w:p w:rsidR="00E5200C" w:rsidRPr="00E5200C" w:rsidRDefault="00E5200C" w:rsidP="00E5200C">
            <w:pPr>
              <w:widowControl/>
              <w:jc w:val="left"/>
              <w:rPr>
                <w:rFonts w:ascii="Times New Roman" w:eastAsia="宋体" w:hAnsi="Times New Roman" w:cs="Times New Roman"/>
                <w:color w:val="000000"/>
                <w:kern w:val="0"/>
                <w:sz w:val="18"/>
                <w:szCs w:val="18"/>
              </w:rPr>
            </w:pPr>
            <w:r w:rsidRPr="00E5200C">
              <w:rPr>
                <w:rFonts w:ascii="Times New Roman" w:eastAsia="宋体" w:hAnsi="Times New Roman" w:cs="Times New Roman"/>
                <w:color w:val="000000"/>
                <w:kern w:val="0"/>
                <w:sz w:val="18"/>
                <w:szCs w:val="18"/>
              </w:rPr>
              <w:t>实践环节（三选一）学分</w:t>
            </w:r>
          </w:p>
        </w:tc>
        <w:tc>
          <w:tcPr>
            <w:tcW w:w="406"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righ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1</w:t>
            </w:r>
          </w:p>
        </w:tc>
        <w:tc>
          <w:tcPr>
            <w:tcW w:w="1756"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center"/>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5200C" w:rsidRPr="00E5200C" w:rsidRDefault="00E5200C" w:rsidP="00E5200C">
            <w:pPr>
              <w:widowControl/>
              <w:jc w:val="left"/>
              <w:rPr>
                <w:rFonts w:ascii="Times New Roman" w:eastAsia="等线" w:hAnsi="Times New Roman" w:cs="Times New Roman"/>
                <w:color w:val="000000"/>
                <w:kern w:val="0"/>
                <w:sz w:val="18"/>
                <w:szCs w:val="18"/>
              </w:rPr>
            </w:pPr>
            <w:r w:rsidRPr="00E5200C">
              <w:rPr>
                <w:rFonts w:ascii="Times New Roman" w:eastAsia="等线" w:hAnsi="Times New Roman" w:cs="Times New Roman"/>
                <w:color w:val="000000"/>
                <w:kern w:val="0"/>
                <w:sz w:val="18"/>
                <w:szCs w:val="18"/>
              </w:rPr>
              <w:t xml:space="preserve">　</w:t>
            </w:r>
          </w:p>
        </w:tc>
      </w:tr>
    </w:tbl>
    <w:p w:rsidR="008660EE" w:rsidRPr="00E5200C" w:rsidRDefault="008660EE" w:rsidP="006362C2">
      <w:pPr>
        <w:widowControl/>
        <w:ind w:leftChars="-200" w:left="-420"/>
        <w:jc w:val="left"/>
        <w:rPr>
          <w:rFonts w:ascii="Times New Roman" w:eastAsia="黑体" w:hAnsi="Times New Roman" w:cs="Times New Roman"/>
          <w:color w:val="000000"/>
          <w:sz w:val="32"/>
          <w:szCs w:val="32"/>
        </w:rPr>
      </w:pPr>
    </w:p>
    <w:sectPr w:rsidR="008660EE" w:rsidRPr="00E52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592" w:rsidRDefault="00133592" w:rsidP="00DA2183">
      <w:r>
        <w:separator/>
      </w:r>
    </w:p>
  </w:endnote>
  <w:endnote w:type="continuationSeparator" w:id="0">
    <w:p w:rsidR="00133592" w:rsidRDefault="00133592" w:rsidP="00DA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592" w:rsidRDefault="00133592" w:rsidP="00DA2183">
      <w:r>
        <w:separator/>
      </w:r>
    </w:p>
  </w:footnote>
  <w:footnote w:type="continuationSeparator" w:id="0">
    <w:p w:rsidR="00133592" w:rsidRDefault="00133592" w:rsidP="00DA2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0EE"/>
    <w:rsid w:val="00105DF7"/>
    <w:rsid w:val="00133592"/>
    <w:rsid w:val="00185821"/>
    <w:rsid w:val="00292A7E"/>
    <w:rsid w:val="004D2955"/>
    <w:rsid w:val="004E478D"/>
    <w:rsid w:val="004F7A3C"/>
    <w:rsid w:val="00586EE5"/>
    <w:rsid w:val="006362C2"/>
    <w:rsid w:val="006C2807"/>
    <w:rsid w:val="007271A5"/>
    <w:rsid w:val="007D3E1B"/>
    <w:rsid w:val="00835922"/>
    <w:rsid w:val="00856C73"/>
    <w:rsid w:val="008660EE"/>
    <w:rsid w:val="008D5690"/>
    <w:rsid w:val="00B311F3"/>
    <w:rsid w:val="00B41120"/>
    <w:rsid w:val="00B53D4D"/>
    <w:rsid w:val="00BB36BB"/>
    <w:rsid w:val="00DA2183"/>
    <w:rsid w:val="00DA53D1"/>
    <w:rsid w:val="00E5200C"/>
    <w:rsid w:val="00E80952"/>
    <w:rsid w:val="00F1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5F6EF"/>
  <w15:docId w15:val="{F3E75B8D-F25A-4DA5-AFC1-222BFC1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1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2183"/>
    <w:rPr>
      <w:sz w:val="18"/>
      <w:szCs w:val="18"/>
    </w:rPr>
  </w:style>
  <w:style w:type="paragraph" w:styleId="a5">
    <w:name w:val="footer"/>
    <w:basedOn w:val="a"/>
    <w:link w:val="a6"/>
    <w:uiPriority w:val="99"/>
    <w:unhideWhenUsed/>
    <w:rsid w:val="00DA2183"/>
    <w:pPr>
      <w:tabs>
        <w:tab w:val="center" w:pos="4153"/>
        <w:tab w:val="right" w:pos="8306"/>
      </w:tabs>
      <w:snapToGrid w:val="0"/>
      <w:jc w:val="left"/>
    </w:pPr>
    <w:rPr>
      <w:sz w:val="18"/>
      <w:szCs w:val="18"/>
    </w:rPr>
  </w:style>
  <w:style w:type="character" w:customStyle="1" w:styleId="a6">
    <w:name w:val="页脚 字符"/>
    <w:basedOn w:val="a0"/>
    <w:link w:val="a5"/>
    <w:uiPriority w:val="99"/>
    <w:rsid w:val="00DA21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6592">
      <w:bodyDiv w:val="1"/>
      <w:marLeft w:val="0"/>
      <w:marRight w:val="0"/>
      <w:marTop w:val="0"/>
      <w:marBottom w:val="0"/>
      <w:divBdr>
        <w:top w:val="none" w:sz="0" w:space="0" w:color="auto"/>
        <w:left w:val="none" w:sz="0" w:space="0" w:color="auto"/>
        <w:bottom w:val="none" w:sz="0" w:space="0" w:color="auto"/>
        <w:right w:val="none" w:sz="0" w:space="0" w:color="auto"/>
      </w:divBdr>
    </w:div>
    <w:div w:id="219294937">
      <w:bodyDiv w:val="1"/>
      <w:marLeft w:val="0"/>
      <w:marRight w:val="0"/>
      <w:marTop w:val="0"/>
      <w:marBottom w:val="0"/>
      <w:divBdr>
        <w:top w:val="none" w:sz="0" w:space="0" w:color="auto"/>
        <w:left w:val="none" w:sz="0" w:space="0" w:color="auto"/>
        <w:bottom w:val="none" w:sz="0" w:space="0" w:color="auto"/>
        <w:right w:val="none" w:sz="0" w:space="0" w:color="auto"/>
      </w:divBdr>
    </w:div>
    <w:div w:id="309873607">
      <w:bodyDiv w:val="1"/>
      <w:marLeft w:val="0"/>
      <w:marRight w:val="0"/>
      <w:marTop w:val="0"/>
      <w:marBottom w:val="0"/>
      <w:divBdr>
        <w:top w:val="none" w:sz="0" w:space="0" w:color="auto"/>
        <w:left w:val="none" w:sz="0" w:space="0" w:color="auto"/>
        <w:bottom w:val="none" w:sz="0" w:space="0" w:color="auto"/>
        <w:right w:val="none" w:sz="0" w:space="0" w:color="auto"/>
      </w:divBdr>
    </w:div>
    <w:div w:id="765229329">
      <w:bodyDiv w:val="1"/>
      <w:marLeft w:val="0"/>
      <w:marRight w:val="0"/>
      <w:marTop w:val="0"/>
      <w:marBottom w:val="0"/>
      <w:divBdr>
        <w:top w:val="none" w:sz="0" w:space="0" w:color="auto"/>
        <w:left w:val="none" w:sz="0" w:space="0" w:color="auto"/>
        <w:bottom w:val="none" w:sz="0" w:space="0" w:color="auto"/>
        <w:right w:val="none" w:sz="0" w:space="0" w:color="auto"/>
      </w:divBdr>
    </w:div>
    <w:div w:id="1271819216">
      <w:bodyDiv w:val="1"/>
      <w:marLeft w:val="0"/>
      <w:marRight w:val="0"/>
      <w:marTop w:val="0"/>
      <w:marBottom w:val="0"/>
      <w:divBdr>
        <w:top w:val="none" w:sz="0" w:space="0" w:color="auto"/>
        <w:left w:val="none" w:sz="0" w:space="0" w:color="auto"/>
        <w:bottom w:val="none" w:sz="0" w:space="0" w:color="auto"/>
        <w:right w:val="none" w:sz="0" w:space="0" w:color="auto"/>
      </w:divBdr>
      <w:divsChild>
        <w:div w:id="467170230">
          <w:marLeft w:val="0"/>
          <w:marRight w:val="0"/>
          <w:marTop w:val="0"/>
          <w:marBottom w:val="0"/>
          <w:divBdr>
            <w:top w:val="none" w:sz="0" w:space="0" w:color="auto"/>
            <w:left w:val="none" w:sz="0" w:space="0" w:color="auto"/>
            <w:bottom w:val="none" w:sz="0" w:space="0" w:color="auto"/>
            <w:right w:val="none" w:sz="0" w:space="0" w:color="auto"/>
          </w:divBdr>
        </w:div>
        <w:div w:id="123269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F605-DAAA-4047-9444-B4AD7CC6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88216658@qq.com</cp:lastModifiedBy>
  <cp:revision>13</cp:revision>
  <dcterms:created xsi:type="dcterms:W3CDTF">2017-06-27T11:53:00Z</dcterms:created>
  <dcterms:modified xsi:type="dcterms:W3CDTF">2019-04-04T06:23:00Z</dcterms:modified>
</cp:coreProperties>
</file>